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3" w:rsidRPr="00973A87" w:rsidRDefault="006A5BF3" w:rsidP="006A5BF3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AC999DA" wp14:editId="0320292D">
            <wp:extent cx="2724150" cy="2578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89" cy="259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F3" w:rsidRPr="0079346F" w:rsidRDefault="006A5BF3" w:rsidP="0079346F">
      <w:pPr>
        <w:jc w:val="center"/>
        <w:rPr>
          <w:rFonts w:cs="B Nazanin"/>
          <w:b/>
          <w:bCs/>
          <w:color w:val="000000" w:themeColor="text1"/>
          <w:sz w:val="28"/>
          <w:szCs w:val="28"/>
          <w:highlight w:val="cyan"/>
          <w:lang w:bidi="fa-IR"/>
        </w:rPr>
      </w:pPr>
      <w:bookmarkStart w:id="0" w:name="_GoBack"/>
      <w:r w:rsidRPr="00B6244B">
        <w:rPr>
          <w:rFonts w:cs="B Nazanin" w:hint="cs"/>
          <w:b/>
          <w:bCs/>
          <w:color w:val="000000" w:themeColor="text1"/>
          <w:sz w:val="28"/>
          <w:szCs w:val="28"/>
          <w:highlight w:val="cyan"/>
          <w:rtl/>
          <w:lang w:bidi="fa-IR"/>
        </w:rPr>
        <w:t xml:space="preserve">سوالات متداول معاونت </w:t>
      </w:r>
      <w:r w:rsidR="0079346F" w:rsidRPr="0079346F">
        <w:rPr>
          <w:rFonts w:cs="B Nazanin" w:hint="cs"/>
          <w:b/>
          <w:bCs/>
          <w:color w:val="000000" w:themeColor="text1"/>
          <w:sz w:val="28"/>
          <w:szCs w:val="28"/>
          <w:highlight w:val="cyan"/>
          <w:rtl/>
          <w:lang w:bidi="fa-IR"/>
        </w:rPr>
        <w:t>توسعه</w:t>
      </w:r>
    </w:p>
    <w:bookmarkEnd w:id="0"/>
    <w:p w:rsidR="00D9278F" w:rsidRPr="00D9278F" w:rsidRDefault="00D9278F" w:rsidP="00D9278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96040B" w:rsidRPr="0096040B" w:rsidRDefault="00D9278F" w:rsidP="0096040B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1. </w:t>
      </w:r>
      <w:r w:rsidR="0096040B" w:rsidRPr="0096040B">
        <w:rPr>
          <w:rFonts w:cs="B Nazanin" w:hint="cs"/>
          <w:b/>
          <w:bCs/>
          <w:sz w:val="28"/>
          <w:szCs w:val="28"/>
          <w:rtl/>
          <w:lang w:bidi="fa-IR"/>
        </w:rPr>
        <w:t>برای ثبت نام معافیت از طرح چه اقدامی باید انجام داد؟</w:t>
      </w:r>
    </w:p>
    <w:p w:rsidR="00D9278F" w:rsidRPr="0096040B" w:rsidRDefault="0096040B" w:rsidP="0096040B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به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سامانه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رشد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مراجعه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می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کنید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و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جهت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ثبت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درخواست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معافیت از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طرح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اقدام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کنید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>.</w:t>
      </w:r>
    </w:p>
    <w:p w:rsidR="0096040B" w:rsidRDefault="0096040B" w:rsidP="0096040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96040B" w:rsidRPr="0096040B" w:rsidRDefault="0096040B" w:rsidP="0096040B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2. </w:t>
      </w:r>
      <w:r w:rsidRPr="0096040B">
        <w:rPr>
          <w:rFonts w:cs="B Nazanin" w:hint="cs"/>
          <w:b/>
          <w:bCs/>
          <w:sz w:val="28"/>
          <w:szCs w:val="28"/>
          <w:rtl/>
          <w:lang w:bidi="fa-IR"/>
        </w:rPr>
        <w:t>آدرس سامانه رشد؟</w:t>
      </w:r>
    </w:p>
    <w:p w:rsidR="0096040B" w:rsidRPr="0096040B" w:rsidRDefault="0096040B" w:rsidP="0096040B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hyperlink r:id="rId6" w:history="1">
        <w:r w:rsidRPr="0096040B">
          <w:rPr>
            <w:rFonts w:cs="B Nazanin"/>
            <w:b/>
            <w:bCs/>
            <w:color w:val="0070C0"/>
            <w:sz w:val="24"/>
            <w:szCs w:val="24"/>
            <w:lang w:bidi="fa-IR"/>
          </w:rPr>
          <w:t>www.tarhreg.behdasht.gov.ir</w:t>
        </w:r>
      </w:hyperlink>
    </w:p>
    <w:p w:rsidR="0096040B" w:rsidRDefault="0096040B" w:rsidP="0096040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6040B" w:rsidRPr="0096040B" w:rsidRDefault="0096040B" w:rsidP="0096040B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3. </w:t>
      </w:r>
      <w:r w:rsidRPr="0096040B">
        <w:rPr>
          <w:rFonts w:cs="B Nazanin" w:hint="cs"/>
          <w:b/>
          <w:bCs/>
          <w:sz w:val="28"/>
          <w:szCs w:val="28"/>
          <w:rtl/>
          <w:lang w:bidi="fa-IR"/>
        </w:rPr>
        <w:t>چگونه بفهمیم که مشمول معافیت از طرح هستیم؟</w:t>
      </w:r>
    </w:p>
    <w:p w:rsidR="0096040B" w:rsidRPr="002C5766" w:rsidRDefault="0096040B" w:rsidP="0096040B">
      <w:pPr>
        <w:tabs>
          <w:tab w:val="num" w:pos="510"/>
        </w:tabs>
        <w:bidi/>
        <w:spacing w:after="0" w:line="240" w:lineRule="auto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u w:val="single"/>
          <w:rtl/>
        </w:rPr>
      </w:pPr>
      <w:r w:rsidRPr="002C5766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u w:val="single"/>
          <w:rtl/>
        </w:rPr>
        <w:t xml:space="preserve">معافیت ماده 2 : </w:t>
      </w:r>
    </w:p>
    <w:p w:rsidR="0096040B" w:rsidRPr="0096040B" w:rsidRDefault="0096040B" w:rsidP="0096040B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فرزندان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و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همسران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شهداء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و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مفقودين جنگ تحميلي</w:t>
      </w:r>
    </w:p>
    <w:p w:rsidR="0096040B" w:rsidRPr="0096040B" w:rsidRDefault="0096040B" w:rsidP="0096040B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خواهر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و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برادر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شهيد (فقط یک نفر از اعضای خانواده می توانند از معافیت استفاده نمایند)</w:t>
      </w:r>
    </w:p>
    <w:p w:rsidR="0096040B" w:rsidRPr="0096040B" w:rsidRDefault="0096040B" w:rsidP="0096040B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آزادگان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و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همسران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و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فرزندان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آزادگان</w:t>
      </w:r>
    </w:p>
    <w:p w:rsidR="0096040B" w:rsidRPr="0096040B" w:rsidRDefault="0096040B" w:rsidP="0096040B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جانباز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بالاي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25%</w:t>
      </w:r>
    </w:p>
    <w:p w:rsidR="0096040B" w:rsidRPr="0096040B" w:rsidRDefault="0096040B" w:rsidP="0096040B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فرزند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جانباز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ascii="Cambria" w:hAnsi="Cambria" w:cs="Cambria" w:hint="cs"/>
          <w:b/>
          <w:bCs/>
          <w:color w:val="0070C0"/>
          <w:sz w:val="24"/>
          <w:szCs w:val="24"/>
          <w:rtl/>
          <w:lang w:bidi="fa-IR"/>
        </w:rPr>
        <w:t> 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>50%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و بالاتر</w:t>
      </w:r>
    </w:p>
    <w:p w:rsidR="0096040B" w:rsidRPr="0096040B" w:rsidRDefault="0096040B" w:rsidP="0096040B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همسر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جانباز بالای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70%</w:t>
      </w:r>
    </w:p>
    <w:p w:rsidR="0096040B" w:rsidRPr="0096040B" w:rsidRDefault="0096040B" w:rsidP="0096040B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تك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فرزند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خانوا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>ده</w:t>
      </w:r>
    </w:p>
    <w:p w:rsidR="0096040B" w:rsidRPr="002C5766" w:rsidRDefault="0096040B" w:rsidP="002C5766">
      <w:pPr>
        <w:pStyle w:val="ListParagraph"/>
        <w:numPr>
          <w:ilvl w:val="0"/>
          <w:numId w:val="1"/>
        </w:numPr>
        <w:bidi/>
        <w:ind w:left="571" w:hanging="425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lastRenderedPageBreak/>
        <w:t>مادري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كه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حضانت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فرزند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خود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را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بر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عهده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96040B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دارد</w:t>
      </w:r>
      <w:r w:rsidRPr="0096040B">
        <w:rPr>
          <w:rFonts w:cs="B Nazanin"/>
          <w:b/>
          <w:bCs/>
          <w:color w:val="0070C0"/>
          <w:sz w:val="24"/>
          <w:szCs w:val="24"/>
          <w:rtl/>
          <w:lang w:bidi="fa-IR"/>
        </w:rPr>
        <w:t>.</w:t>
      </w:r>
    </w:p>
    <w:p w:rsidR="00BE308A" w:rsidRPr="002C5766" w:rsidRDefault="00BE308A" w:rsidP="00BE308A">
      <w:pPr>
        <w:tabs>
          <w:tab w:val="num" w:pos="510"/>
        </w:tabs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u w:val="single"/>
          <w:rtl/>
        </w:rPr>
      </w:pPr>
      <w:r w:rsidRPr="002C5766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u w:val="single"/>
          <w:rtl/>
        </w:rPr>
        <w:t xml:space="preserve">معافیت ماده 3 : </w:t>
      </w:r>
    </w:p>
    <w:p w:rsidR="00BE308A" w:rsidRPr="002C5766" w:rsidRDefault="00BE308A" w:rsidP="002C5766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مشمولاني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كه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خدمت سربازی را بطور کامل بعد از فارغ التحصیلی انجام داده اند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>.</w:t>
      </w:r>
    </w:p>
    <w:p w:rsidR="00BE308A" w:rsidRPr="00F84E61" w:rsidRDefault="00BE308A" w:rsidP="00BE308A">
      <w:pPr>
        <w:tabs>
          <w:tab w:val="num" w:pos="1080"/>
        </w:tabs>
        <w:spacing w:after="0" w:line="240" w:lineRule="auto"/>
        <w:jc w:val="lowKashida"/>
        <w:rPr>
          <w:rFonts w:ascii="Tahoma" w:eastAsia="Times New Roman" w:hAnsi="Tahoma" w:cs="B Nazanin"/>
          <w:sz w:val="16"/>
          <w:szCs w:val="16"/>
        </w:rPr>
      </w:pPr>
    </w:p>
    <w:p w:rsidR="00BE308A" w:rsidRPr="002C5766" w:rsidRDefault="00BE308A" w:rsidP="00BE308A">
      <w:pPr>
        <w:tabs>
          <w:tab w:val="num" w:pos="510"/>
        </w:tabs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u w:val="single"/>
          <w:rtl/>
        </w:rPr>
      </w:pPr>
      <w:r w:rsidRPr="002C5766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u w:val="single"/>
          <w:rtl/>
        </w:rPr>
        <w:t xml:space="preserve">معافیت ماده 12 : </w:t>
      </w:r>
    </w:p>
    <w:p w:rsidR="00BE308A" w:rsidRPr="00BE308A" w:rsidRDefault="00BE308A" w:rsidP="00BE308A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مشمولاني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كه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سن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آنها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بالاي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45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سال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رسيده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باشد</w:t>
      </w:r>
      <w:r w:rsidRPr="00BE308A">
        <w:rPr>
          <w:rFonts w:cs="B Nazanin"/>
          <w:b/>
          <w:bCs/>
          <w:color w:val="0070C0"/>
          <w:sz w:val="24"/>
          <w:szCs w:val="24"/>
          <w:rtl/>
          <w:lang w:bidi="fa-IR"/>
        </w:rPr>
        <w:t>.</w:t>
      </w:r>
    </w:p>
    <w:p w:rsidR="00BE308A" w:rsidRDefault="00BE308A" w:rsidP="00BE308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308A" w:rsidRPr="00BE308A" w:rsidRDefault="00BE308A" w:rsidP="00BE308A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4. </w:t>
      </w:r>
      <w:r w:rsidRPr="00BE308A">
        <w:rPr>
          <w:rFonts w:cs="B Nazanin" w:hint="cs"/>
          <w:b/>
          <w:bCs/>
          <w:sz w:val="28"/>
          <w:szCs w:val="28"/>
          <w:rtl/>
          <w:lang w:bidi="fa-IR"/>
        </w:rPr>
        <w:t>چه مدارکی برای دریافت معافیت از طرح الزامی است؟</w:t>
      </w:r>
    </w:p>
    <w:p w:rsidR="00BE308A" w:rsidRPr="00BE308A" w:rsidRDefault="00BE308A" w:rsidP="00BE308A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مدارک احراز هویتی و مدارک مورد نیاز جهت اثبات ماده معافیت مربوطه.</w:t>
      </w:r>
    </w:p>
    <w:p w:rsidR="00BE308A" w:rsidRDefault="00BE308A" w:rsidP="00BE308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308A" w:rsidRPr="00BE308A" w:rsidRDefault="00BE308A" w:rsidP="00BE308A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5. </w:t>
      </w:r>
      <w:r w:rsidRPr="00BE308A">
        <w:rPr>
          <w:rFonts w:cs="B Nazanin" w:hint="cs"/>
          <w:b/>
          <w:bCs/>
          <w:sz w:val="28"/>
          <w:szCs w:val="28"/>
          <w:rtl/>
          <w:lang w:bidi="fa-IR"/>
        </w:rPr>
        <w:t>با چند ماه خدمت سربازی می توان معافیت از طرح دریافت کرد؟</w:t>
      </w:r>
    </w:p>
    <w:p w:rsidR="00BE308A" w:rsidRPr="00BE308A" w:rsidRDefault="00BE308A" w:rsidP="00BE308A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با 21 ماه خدمت سربازی می توان برای همه مشمولان خدمت پزشکان و پیراپزشکان گواهی معافیت صادر کرد.</w:t>
      </w:r>
    </w:p>
    <w:p w:rsidR="00BE308A" w:rsidRDefault="00BE308A" w:rsidP="00BE308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308A" w:rsidRPr="00BE308A" w:rsidRDefault="00BE308A" w:rsidP="00BE308A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6. </w:t>
      </w:r>
      <w:r w:rsidRPr="00BE308A">
        <w:rPr>
          <w:rFonts w:cs="B Nazanin" w:hint="cs"/>
          <w:b/>
          <w:bCs/>
          <w:sz w:val="28"/>
          <w:szCs w:val="28"/>
          <w:rtl/>
          <w:lang w:bidi="fa-IR"/>
        </w:rPr>
        <w:t>در صورت داشتن کسری خدمت سربازی، آیا معافیت از طرح صادر می شود؟</w:t>
      </w:r>
    </w:p>
    <w:p w:rsidR="00BE308A" w:rsidRPr="00BE308A" w:rsidRDefault="00BE308A" w:rsidP="00BE308A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BE308A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در صورت داشتن کسری خدمت در مناطق جنگی، عملیاتی و بدآب و هوا تا سقف 3 ماه، باید گواهی از یگان مربوطه صادر شود.</w:t>
      </w:r>
    </w:p>
    <w:p w:rsidR="00BE308A" w:rsidRDefault="00BE308A" w:rsidP="00BE308A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9278F" w:rsidRPr="00D9278F" w:rsidRDefault="00D9278F" w:rsidP="006A5BF3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sectPr w:rsidR="00D9278F" w:rsidRPr="00D9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1304"/>
    <w:multiLevelType w:val="hybridMultilevel"/>
    <w:tmpl w:val="3C8C2676"/>
    <w:lvl w:ilvl="0" w:tplc="43C68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3F0F"/>
    <w:multiLevelType w:val="hybridMultilevel"/>
    <w:tmpl w:val="E60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3D"/>
    <w:rsid w:val="000F66CF"/>
    <w:rsid w:val="00205B99"/>
    <w:rsid w:val="002C5766"/>
    <w:rsid w:val="006A5BF3"/>
    <w:rsid w:val="0079346F"/>
    <w:rsid w:val="0096040B"/>
    <w:rsid w:val="00BE308A"/>
    <w:rsid w:val="00D9278F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06E6"/>
  <w15:chartTrackingRefBased/>
  <w15:docId w15:val="{E3477132-5CA4-4BBC-9B36-745CAE3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hreg.behdasht.gov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یوسفی</dc:creator>
  <cp:keywords/>
  <dc:description/>
  <cp:lastModifiedBy>زینب یوسفی</cp:lastModifiedBy>
  <cp:revision>8</cp:revision>
  <dcterms:created xsi:type="dcterms:W3CDTF">2022-04-27T04:06:00Z</dcterms:created>
  <dcterms:modified xsi:type="dcterms:W3CDTF">2022-04-27T07:15:00Z</dcterms:modified>
</cp:coreProperties>
</file>